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b/>
          <w:color w:val="auto"/>
          <w:sz w:val="28"/>
          <w:szCs w:val="28"/>
          <w:lang w:eastAsia="en-US"/>
        </w:rPr>
      </w:pPr>
      <w:r w:rsidRPr="00E60BA1">
        <w:rPr>
          <w:rFonts w:asciiTheme="minorHAnsi" w:eastAsia="Calibri" w:hAnsiTheme="minorHAnsi"/>
          <w:b/>
          <w:color w:val="auto"/>
          <w:sz w:val="28"/>
          <w:szCs w:val="28"/>
          <w:lang w:eastAsia="en-US"/>
        </w:rPr>
        <w:t xml:space="preserve">Rodzice nadal będą mogli korzystać z dodatkowego zasiłku opiekuńczego  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="Lato" w:eastAsia="Calibri" w:hAnsi="Lato"/>
          <w:color w:val="00416E"/>
          <w:sz w:val="20"/>
          <w:szCs w:val="24"/>
          <w:lang w:eastAsia="en-US"/>
        </w:rPr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E60BA1">
        <w:rPr>
          <w:rFonts w:asciiTheme="minorHAnsi" w:eastAsia="Calibri" w:hAnsiTheme="minorHAnsi"/>
          <w:b/>
          <w:color w:val="auto"/>
          <w:szCs w:val="24"/>
          <w:lang w:eastAsia="en-US"/>
        </w:rPr>
        <w:t>Rodzice, którzy wykorzystali dodatkowy zasiłek opiekuńczy, mogą wnioskować o wypłatę tego świadczenia na kolejny okres. Oświadczenie zostanie rozpatrzone po wejściu w życie znowelizowanych przepisów.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Zgodnie z przyjętą w marcu specustawą</w:t>
      </w:r>
      <w:r w:rsidR="00D34ED4"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 xml:space="preserve"> w przypadku zamknięcia z powodu zagrożenia </w:t>
      </w:r>
      <w:proofErr w:type="spellStart"/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koronawirusem</w:t>
      </w:r>
      <w:proofErr w:type="spellEnd"/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, przedszkola, żłobka lub szkoły</w:t>
      </w:r>
      <w:r w:rsidR="00D34ED4"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 xml:space="preserve"> rodzice dziecka w wieku do ukończenia 8 lat mogą skorzystać z dodatkowego</w:t>
      </w:r>
      <w:r w:rsidR="00D34ED4"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 xml:space="preserve"> 14-dniowego zasiłku opiekuńczego. W związku z decyzją o zamknięciu szkół, żłobków i przedszkoli do Świąt Wielkanocnych, trwają prace nad wydłużeniem tego zasiłku o kolejne dni. Nowe rozwiązania mają obowiązywać z mocą wsteczną od 26 marca 2020 r.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W tej sytuacji rodzice, którym kończy się okres prawa do dodatkowego 14-dniowego zasiłku opiekuńczego, mogą wnioskować o wypłatę świadczenia na kolejny okres. Oświadczenie można złożyć tak jak do tej pory. Wniosek ten zostanie rozpatrzony po wejściu w życie znowelizowanych przepisów.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Ponadto rodzice mogą wystąpić o zasiłek opiekuńczy na ogólnych zasadach, w takim przypadku będzie on przysługiwał w ramach limitu 60 dni w roku kalendarzowym. Wystarczy wypełnić formularz dostępny na stronie ZUS - Z-15A oraz oświadczenie o zamknięciu placówki. Jednak po wejściu w życie nowych przepisów, okres ten zostanie rozliczony jako dodatkowy zasiłek i nie będzie wliczany do puli 60 dni.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 xml:space="preserve">Oświadczenie o dodatkowym zasiłku opiekuńczym można złożyć przez </w:t>
      </w:r>
      <w:proofErr w:type="spellStart"/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internet</w:t>
      </w:r>
      <w:proofErr w:type="spellEnd"/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. Osoba prowadząca pozarolniczą działalność albo współpracująca z osobą prowadzącą działalność, dla której płatnikiem zasiłku jest ZUS, może wysłać do Zakładu oświadczenie elektronicznie - za pośrednictwem Platformy Usług Elektronicznych ZUS</w:t>
      </w:r>
      <w:r w:rsidR="00D34ED4">
        <w:rPr>
          <w:rFonts w:asciiTheme="minorHAnsi" w:eastAsia="Calibri" w:hAnsiTheme="minorHAnsi"/>
          <w:color w:val="auto"/>
          <w:szCs w:val="24"/>
          <w:lang w:eastAsia="en-US"/>
        </w:rPr>
        <w:t xml:space="preserve"> </w:t>
      </w:r>
      <w:r w:rsidR="00D34ED4" w:rsidRPr="00D34ED4">
        <w:rPr>
          <w:rFonts w:asciiTheme="minorHAnsi" w:eastAsia="Calibri" w:hAnsiTheme="minorHAnsi"/>
          <w:color w:val="auto"/>
          <w:szCs w:val="24"/>
          <w:lang w:eastAsia="en-US"/>
        </w:rPr>
        <w:t>(PUE)</w:t>
      </w: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.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E60BA1">
        <w:rPr>
          <w:rFonts w:asciiTheme="minorHAnsi" w:eastAsia="Calibri" w:hAnsiTheme="minorHAnsi"/>
          <w:color w:val="auto"/>
          <w:szCs w:val="24"/>
          <w:lang w:eastAsia="en-US"/>
        </w:rPr>
        <w:t xml:space="preserve">O korzystaniu z zasiłku pracownik powinien poinformować swojego pracodawcę, zleceniobiorca - swojego zleceniodawcę, a osoba prowadząca działalność gospodarczą bezpośrednio </w:t>
      </w:r>
      <w:bookmarkStart w:id="0" w:name="_GoBack"/>
      <w:bookmarkEnd w:id="0"/>
      <w:r w:rsidRPr="00E60BA1">
        <w:rPr>
          <w:rFonts w:asciiTheme="minorHAnsi" w:eastAsia="Calibri" w:hAnsiTheme="minorHAnsi"/>
          <w:color w:val="auto"/>
          <w:szCs w:val="24"/>
          <w:lang w:eastAsia="en-US"/>
        </w:rPr>
        <w:t>ZUS.</w:t>
      </w:r>
    </w:p>
    <w:p w:rsidR="00E60BA1" w:rsidRDefault="00E60BA1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D34ED4" w:rsidRDefault="00D34ED4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D34ED4" w:rsidRPr="00D34ED4" w:rsidRDefault="00D34ED4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1F" w:rsidRDefault="008F711F">
      <w:pPr>
        <w:spacing w:before="0" w:after="0"/>
      </w:pPr>
      <w:r>
        <w:separator/>
      </w:r>
    </w:p>
  </w:endnote>
  <w:endnote w:type="continuationSeparator" w:id="0">
    <w:p w:rsidR="008F711F" w:rsidRDefault="008F71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60BA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F711F">
      <w:fldChar w:fldCharType="begin"/>
    </w:r>
    <w:r w:rsidR="008F711F">
      <w:instrText xml:space="preserve"> NUMPAGES  \* MERGEFORMAT </w:instrText>
    </w:r>
    <w:r w:rsidR="008F711F">
      <w:fldChar w:fldCharType="separate"/>
    </w:r>
    <w:r w:rsidR="00E60BA1" w:rsidRPr="00E60BA1">
      <w:rPr>
        <w:rStyle w:val="StopkastronyZnak"/>
        <w:noProof/>
      </w:rPr>
      <w:t>2</w:t>
    </w:r>
    <w:r w:rsidR="008F711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1F" w:rsidRDefault="008F711F">
      <w:pPr>
        <w:spacing w:before="0" w:after="0"/>
      </w:pPr>
      <w:r>
        <w:separator/>
      </w:r>
    </w:p>
  </w:footnote>
  <w:footnote w:type="continuationSeparator" w:id="0">
    <w:p w:rsidR="008F711F" w:rsidRDefault="008F711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374BC5"/>
    <w:rsid w:val="005E683D"/>
    <w:rsid w:val="00712BCC"/>
    <w:rsid w:val="007A6BEE"/>
    <w:rsid w:val="007C36C6"/>
    <w:rsid w:val="00841560"/>
    <w:rsid w:val="008F711F"/>
    <w:rsid w:val="0091680F"/>
    <w:rsid w:val="0096435C"/>
    <w:rsid w:val="009F21B1"/>
    <w:rsid w:val="009F4D40"/>
    <w:rsid w:val="00AD7739"/>
    <w:rsid w:val="00B2109E"/>
    <w:rsid w:val="00B316E3"/>
    <w:rsid w:val="00BD516C"/>
    <w:rsid w:val="00D34ED4"/>
    <w:rsid w:val="00D36A83"/>
    <w:rsid w:val="00D978C4"/>
    <w:rsid w:val="00DD5656"/>
    <w:rsid w:val="00E06176"/>
    <w:rsid w:val="00E60BA1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2020-03-26T09:55:00Z</dcterms:created>
  <dcterms:modified xsi:type="dcterms:W3CDTF">2020-03-26T09:59:00Z</dcterms:modified>
</cp:coreProperties>
</file>